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2.jpeg" ContentType="image/jpeg"/>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andard"/>
        <w:jc w:val="center"/>
        <w:rPr>
          <w:rFonts w:ascii="Tahoma" w:hAnsi="Tahoma"/>
          <w:color w:val="000000"/>
        </w:rPr>
      </w:pPr>
      <w:r>
        <w:drawing>
          <wp:anchor behindDoc="0" distT="0" distB="0" distL="0" distR="0" simplePos="0" locked="0" layoutInCell="1" allowOverlap="1" relativeHeight="2">
            <wp:simplePos x="0" y="0"/>
            <wp:positionH relativeFrom="column">
              <wp:posOffset>372110</wp:posOffset>
            </wp:positionH>
            <wp:positionV relativeFrom="paragraph">
              <wp:posOffset>2540</wp:posOffset>
            </wp:positionV>
            <wp:extent cx="542925" cy="713105"/>
            <wp:effectExtent l="0" t="0" r="0" b="0"/>
            <wp:wrapNone/>
            <wp:docPr id="1" name="immagini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i2" descr=""/>
                    <pic:cNvPicPr>
                      <a:picLocks noChangeAspect="1" noChangeArrowheads="1"/>
                    </pic:cNvPicPr>
                  </pic:nvPicPr>
                  <pic:blipFill>
                    <a:blip r:embed="rId2"/>
                    <a:stretch>
                      <a:fillRect/>
                    </a:stretch>
                  </pic:blipFill>
                  <pic:spPr bwMode="auto">
                    <a:xfrm>
                      <a:off x="0" y="0"/>
                      <a:ext cx="542925" cy="713105"/>
                    </a:xfrm>
                    <a:prstGeom prst="rect">
                      <a:avLst/>
                    </a:prstGeom>
                  </pic:spPr>
                </pic:pic>
              </a:graphicData>
            </a:graphic>
          </wp:anchor>
        </w:drawing>
      </w:r>
      <w:r>
        <w:rPr>
          <w:rFonts w:ascii="Calibri" w:hAnsi="Calibri"/>
          <w:color w:val="000000"/>
          <w:sz w:val="56"/>
          <w:szCs w:val="40"/>
        </w:rPr>
        <w:t>C</w:t>
      </w:r>
      <w:r>
        <w:rPr>
          <w:rFonts w:ascii="Calibri" w:hAnsi="Calibri"/>
          <w:color w:val="000000"/>
          <w:sz w:val="48"/>
          <w:szCs w:val="40"/>
        </w:rPr>
        <w:t>omune</w:t>
      </w:r>
      <w:r>
        <w:rPr>
          <w:rFonts w:ascii="Calibri" w:hAnsi="Calibri"/>
          <w:color w:val="000000"/>
          <w:sz w:val="36"/>
          <w:szCs w:val="40"/>
        </w:rPr>
        <w:t xml:space="preserve"> </w:t>
      </w:r>
      <w:r>
        <w:rPr>
          <w:rFonts w:ascii="Calibri" w:hAnsi="Calibri"/>
          <w:color w:val="000000"/>
          <w:sz w:val="48"/>
          <w:szCs w:val="52"/>
        </w:rPr>
        <w:t>di</w:t>
      </w:r>
      <w:r>
        <w:rPr>
          <w:rFonts w:ascii="Calibri" w:hAnsi="Calibri"/>
          <w:color w:val="000000"/>
          <w:sz w:val="36"/>
          <w:szCs w:val="40"/>
        </w:rPr>
        <w:t xml:space="preserve"> </w:t>
      </w:r>
      <w:r>
        <w:rPr>
          <w:rFonts w:ascii="Calibri" w:hAnsi="Calibri"/>
          <w:color w:val="000000"/>
          <w:sz w:val="56"/>
          <w:szCs w:val="72"/>
        </w:rPr>
        <w:t>S</w:t>
      </w:r>
      <w:r>
        <w:rPr>
          <w:rFonts w:ascii="Calibri" w:hAnsi="Calibri"/>
          <w:color w:val="000000"/>
          <w:sz w:val="48"/>
          <w:szCs w:val="40"/>
        </w:rPr>
        <w:t>ant’</w:t>
      </w:r>
      <w:r>
        <w:rPr>
          <w:rFonts w:ascii="Calibri" w:hAnsi="Calibri"/>
          <w:color w:val="000000"/>
          <w:sz w:val="56"/>
          <w:szCs w:val="72"/>
        </w:rPr>
        <w:t>A</w:t>
      </w:r>
      <w:r>
        <w:rPr>
          <w:rFonts w:ascii="Calibri" w:hAnsi="Calibri"/>
          <w:color w:val="000000"/>
          <w:sz w:val="48"/>
          <w:szCs w:val="40"/>
        </w:rPr>
        <w:t>ntioco</w:t>
      </w:r>
      <w:r>
        <w:rPr>
          <w:rFonts w:ascii="Calibri" w:hAnsi="Calibri"/>
          <w:color w:val="000000"/>
          <w:sz w:val="36"/>
          <w:szCs w:val="40"/>
        </w:rPr>
        <w:tab/>
      </w:r>
    </w:p>
    <w:p>
      <w:pPr>
        <w:pStyle w:val="Standard"/>
        <w:jc w:val="center"/>
        <w:rPr>
          <w:rFonts w:ascii="Tahoma" w:hAnsi="Tahoma"/>
          <w:color w:val="000000"/>
        </w:rPr>
      </w:pPr>
      <w:r>
        <w:rPr>
          <w:rFonts w:ascii="Calibri" w:hAnsi="Calibri"/>
          <w:color w:val="000000"/>
        </w:rPr>
        <w:t>Provincia del Su</w:t>
      </w:r>
      <w:r>
        <w:rPr>
          <w:rFonts w:ascii="Calibri" w:hAnsi="Calibri"/>
          <w:color w:val="000000"/>
        </w:rPr>
        <w:t>lcis Iglesiente</w:t>
      </w:r>
    </w:p>
    <w:p>
      <w:pPr>
        <w:pStyle w:val="Standard"/>
        <w:rPr/>
      </w:pPr>
      <w:r>
        <w:rPr/>
      </w:r>
    </w:p>
    <w:p>
      <w:pPr>
        <w:pStyle w:val="Standard"/>
        <w:rPr/>
      </w:pPr>
      <w:r>
        <w:rPr/>
      </w:r>
    </w:p>
    <w:p>
      <w:pPr>
        <w:pStyle w:val="Standard"/>
        <w:rPr/>
      </w:pPr>
      <w:r>
        <w:rPr/>
      </w:r>
    </w:p>
    <w:p>
      <w:pPr>
        <w:pStyle w:val="Titolo1"/>
        <w:jc w:val="center"/>
        <w:rPr>
          <w:sz w:val="32"/>
          <w:szCs w:val="32"/>
        </w:rPr>
      </w:pPr>
      <w:r>
        <w:rPr>
          <w:sz w:val="32"/>
          <w:szCs w:val="32"/>
        </w:rPr>
        <w:t>ATTO INTEGRATIVO ALLA CONVENZIONE REP. N. 3049 DEL 28/06/2024</w:t>
      </w:r>
    </w:p>
    <w:p>
      <w:pPr>
        <w:pStyle w:val="Titolo2"/>
        <w:rPr>
          <w:rFonts w:ascii="Century" w:hAnsi="Century"/>
          <w:sz w:val="24"/>
          <w:szCs w:val="24"/>
        </w:rPr>
      </w:pPr>
      <w:r>
        <w:rPr>
          <w:rFonts w:ascii="Century" w:hAnsi="Century"/>
          <w:sz w:val="24"/>
          <w:szCs w:val="24"/>
        </w:rPr>
      </w:r>
    </w:p>
    <w:p>
      <w:pPr>
        <w:pStyle w:val="Titolo2"/>
        <w:jc w:val="center"/>
        <w:rPr>
          <w:rFonts w:ascii="Century" w:hAnsi="Century"/>
          <w:sz w:val="24"/>
          <w:szCs w:val="24"/>
        </w:rPr>
      </w:pPr>
      <w:r>
        <w:rPr>
          <w:rFonts w:ascii="Century" w:hAnsi="Century"/>
          <w:sz w:val="24"/>
          <w:szCs w:val="24"/>
        </w:rPr>
        <w:t>TRA</w:t>
      </w:r>
    </w:p>
    <w:p>
      <w:pPr>
        <w:pStyle w:val="Corpodeltesto"/>
        <w:jc w:val="center"/>
        <w:rPr>
          <w:rFonts w:ascii="Century" w:hAnsi="Century"/>
          <w:sz w:val="24"/>
          <w:szCs w:val="24"/>
        </w:rPr>
      </w:pPr>
      <w:r>
        <w:rPr>
          <w:rFonts w:ascii="Century" w:hAnsi="Century"/>
          <w:sz w:val="24"/>
          <w:szCs w:val="24"/>
        </w:rPr>
      </w:r>
    </w:p>
    <w:p>
      <w:pPr>
        <w:pStyle w:val="Corpodeltesto"/>
        <w:rPr>
          <w:rFonts w:ascii="Century" w:hAnsi="Century"/>
          <w:sz w:val="24"/>
          <w:szCs w:val="24"/>
        </w:rPr>
      </w:pPr>
      <w:r>
        <w:rPr>
          <w:rFonts w:ascii="Century" w:hAnsi="Century"/>
          <w:sz w:val="24"/>
          <w:szCs w:val="24"/>
        </w:rPr>
        <w:t>Il Comune di Sant’Antioco, C.F. 81002570927, rappresentato dal Responsabile del Servizio competente, domiciliato per la carica presso la sede comunale, di seguito denominato “Comune”,</w:t>
      </w:r>
    </w:p>
    <w:p>
      <w:pPr>
        <w:pStyle w:val="Corpodeltesto"/>
        <w:jc w:val="center"/>
        <w:rPr>
          <w:rFonts w:ascii="Century" w:hAnsi="Century"/>
          <w:b/>
          <w:b/>
          <w:bCs/>
          <w:sz w:val="24"/>
          <w:szCs w:val="24"/>
        </w:rPr>
      </w:pPr>
      <w:r>
        <w:rPr>
          <w:rFonts w:ascii="Century" w:hAnsi="Century"/>
          <w:b/>
          <w:bCs/>
          <w:sz w:val="24"/>
          <w:szCs w:val="24"/>
        </w:rPr>
        <w:t>E</w:t>
      </w:r>
    </w:p>
    <w:p>
      <w:pPr>
        <w:pStyle w:val="Corpodeltesto"/>
        <w:jc w:val="center"/>
        <w:rPr>
          <w:rFonts w:ascii="Century" w:hAnsi="Century"/>
          <w:b/>
          <w:b/>
          <w:bCs/>
          <w:sz w:val="24"/>
          <w:szCs w:val="24"/>
        </w:rPr>
      </w:pPr>
      <w:r>
        <w:rPr>
          <w:rFonts w:ascii="Century" w:hAnsi="Century"/>
          <w:b/>
          <w:bCs/>
          <w:sz w:val="24"/>
          <w:szCs w:val="24"/>
        </w:rPr>
      </w:r>
    </w:p>
    <w:p>
      <w:pPr>
        <w:pStyle w:val="Corpodeltesto"/>
        <w:jc w:val="both"/>
        <w:rPr>
          <w:rFonts w:ascii="Century" w:hAnsi="Century"/>
          <w:sz w:val="24"/>
          <w:szCs w:val="24"/>
        </w:rPr>
      </w:pPr>
      <w:r>
        <w:rPr>
          <w:rFonts w:ascii="Century" w:hAnsi="Century"/>
          <w:sz w:val="24"/>
          <w:szCs w:val="24"/>
        </w:rPr>
        <w:t>ASSOSULCIS ODV, con sede in Sant’Antioco, Via Iglesias n. 9, C.F./P.IVA 02822070922, iscritta nel Registro Generale del Volontariato – Settore Ambiente – Sezione Protezione Civile, rappresentata dal proprio legale rappresentante pro tempore, di seguito denominata “Associazione” o “EAP”,</w:t>
      </w:r>
    </w:p>
    <w:p>
      <w:pPr>
        <w:pStyle w:val="Titolo2"/>
        <w:jc w:val="both"/>
        <w:rPr>
          <w:rFonts w:ascii="Century" w:hAnsi="Century"/>
          <w:sz w:val="24"/>
          <w:szCs w:val="24"/>
        </w:rPr>
      </w:pPr>
      <w:r>
        <w:rPr>
          <w:rFonts w:ascii="Century" w:hAnsi="Century"/>
          <w:sz w:val="24"/>
          <w:szCs w:val="24"/>
        </w:rPr>
        <w:t>PREMESSO CHE</w:t>
      </w:r>
    </w:p>
    <w:p>
      <w:pPr>
        <w:pStyle w:val="Corpodeltesto"/>
        <w:numPr>
          <w:ilvl w:val="0"/>
          <w:numId w:val="1"/>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con Convenzione repertorio n. 3049 del 28/06/2024 il Comune di Sant’Antioco ha affidato ad ASSOSULCIS ODV attività di protezione civile, gestione emergenze, assistenza durante manifestazioni pubbliche ed ulteriori attività di interesse pubblico ai sensi dell’art. 55 del D.Lgs. n. 117/2017;</w:t>
      </w:r>
    </w:p>
    <w:p>
      <w:pPr>
        <w:pStyle w:val="Corpodeltesto"/>
        <w:numPr>
          <w:ilvl w:val="0"/>
          <w:numId w:val="1"/>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Comune di Sant’Antioco ravvisa la necessità di garantire temporaneamente attività di presidio passivo e salvaguardia del Museo Archeologico Comunale “Ferruccio Barreca”, nelle more dell’attuazione di ulteriori misure organizzative e strutturali di tutela del patrimonio comunale;</w:t>
      </w:r>
    </w:p>
    <w:p>
      <w:pPr>
        <w:pStyle w:val="Corpodeltesto"/>
        <w:numPr>
          <w:ilvl w:val="0"/>
          <w:numId w:val="1"/>
        </w:numPr>
        <w:tabs>
          <w:tab w:val="clear" w:pos="708"/>
          <w:tab w:val="left" w:pos="0" w:leader="none"/>
        </w:tabs>
        <w:ind w:left="707" w:hanging="283"/>
        <w:jc w:val="both"/>
        <w:rPr>
          <w:rFonts w:ascii="Century" w:hAnsi="Century"/>
          <w:sz w:val="24"/>
          <w:szCs w:val="24"/>
        </w:rPr>
      </w:pPr>
      <w:r>
        <w:rPr>
          <w:rFonts w:ascii="Century" w:hAnsi="Century"/>
          <w:sz w:val="24"/>
          <w:szCs w:val="24"/>
        </w:rPr>
        <w:t>le Parti intendono disciplinare tali attività mediante il presente atto integrativo;</w:t>
      </w:r>
    </w:p>
    <w:p>
      <w:pPr>
        <w:pStyle w:val="Titolo2"/>
        <w:jc w:val="both"/>
        <w:rPr>
          <w:rFonts w:ascii="Century" w:hAnsi="Century"/>
          <w:sz w:val="24"/>
          <w:szCs w:val="24"/>
        </w:rPr>
      </w:pPr>
      <w:r>
        <w:rPr>
          <w:rFonts w:ascii="Century" w:hAnsi="Century"/>
          <w:sz w:val="24"/>
          <w:szCs w:val="24"/>
        </w:rPr>
        <w:t>VISTI</w:t>
      </w:r>
    </w:p>
    <w:p>
      <w:pPr>
        <w:pStyle w:val="Corpodeltesto"/>
        <w:numPr>
          <w:ilvl w:val="0"/>
          <w:numId w:val="2"/>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l’art. 118 della Costituzione;</w:t>
      </w:r>
    </w:p>
    <w:p>
      <w:pPr>
        <w:pStyle w:val="Corpodeltesto"/>
        <w:numPr>
          <w:ilvl w:val="0"/>
          <w:numId w:val="2"/>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la Legge n. 241/1990;</w:t>
      </w:r>
    </w:p>
    <w:p>
      <w:pPr>
        <w:pStyle w:val="Corpodeltesto"/>
        <w:numPr>
          <w:ilvl w:val="0"/>
          <w:numId w:val="2"/>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D.Lgs. n. 267/2000;</w:t>
      </w:r>
    </w:p>
    <w:p>
      <w:pPr>
        <w:pStyle w:val="Corpodeltesto"/>
        <w:numPr>
          <w:ilvl w:val="0"/>
          <w:numId w:val="2"/>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D.Lgs. n. 117/2017 – Codice del Terzo Settore;</w:t>
      </w:r>
    </w:p>
    <w:p>
      <w:pPr>
        <w:pStyle w:val="Corpodeltesto"/>
        <w:numPr>
          <w:ilvl w:val="0"/>
          <w:numId w:val="2"/>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D.M. n. 72 del 31/03/2021;</w:t>
      </w:r>
    </w:p>
    <w:p>
      <w:pPr>
        <w:pStyle w:val="Corpodeltesto"/>
        <w:numPr>
          <w:ilvl w:val="0"/>
          <w:numId w:val="2"/>
        </w:numPr>
        <w:tabs>
          <w:tab w:val="clear" w:pos="708"/>
          <w:tab w:val="left" w:pos="0" w:leader="none"/>
        </w:tabs>
        <w:ind w:left="707" w:hanging="283"/>
        <w:jc w:val="both"/>
        <w:rPr>
          <w:rFonts w:ascii="Century" w:hAnsi="Century"/>
          <w:sz w:val="24"/>
          <w:szCs w:val="24"/>
        </w:rPr>
      </w:pPr>
      <w:r>
        <w:rPr>
          <w:rFonts w:ascii="Century" w:hAnsi="Century"/>
          <w:sz w:val="24"/>
          <w:szCs w:val="24"/>
        </w:rPr>
        <w:t>la Convenzione repertorio n. 3049 del 28/06/2024;</w:t>
      </w:r>
    </w:p>
    <w:p>
      <w:pPr>
        <w:pStyle w:val="Titolo2"/>
        <w:jc w:val="both"/>
        <w:rPr>
          <w:rFonts w:ascii="Century" w:hAnsi="Century"/>
          <w:sz w:val="24"/>
          <w:szCs w:val="24"/>
        </w:rPr>
      </w:pPr>
      <w:r>
        <w:rPr>
          <w:rFonts w:ascii="Century" w:hAnsi="Century"/>
          <w:sz w:val="24"/>
          <w:szCs w:val="24"/>
        </w:rPr>
      </w:r>
    </w:p>
    <w:p>
      <w:pPr>
        <w:pStyle w:val="Titolo2"/>
        <w:jc w:val="both"/>
        <w:rPr>
          <w:rFonts w:ascii="Century" w:hAnsi="Century"/>
          <w:sz w:val="24"/>
          <w:szCs w:val="24"/>
        </w:rPr>
      </w:pPr>
      <w:r>
        <w:rPr>
          <w:rFonts w:ascii="Century" w:hAnsi="Century"/>
          <w:sz w:val="24"/>
          <w:szCs w:val="24"/>
        </w:rPr>
        <w:t>SI CONVIENE E SI STIPULA QUANTO SEGUE</w:t>
      </w:r>
    </w:p>
    <w:p>
      <w:pPr>
        <w:pStyle w:val="Titolo2"/>
        <w:jc w:val="both"/>
        <w:rPr>
          <w:rFonts w:ascii="Century" w:hAnsi="Century"/>
          <w:sz w:val="24"/>
          <w:szCs w:val="24"/>
        </w:rPr>
      </w:pPr>
      <w:r>
        <w:rPr>
          <w:rFonts w:ascii="Century" w:hAnsi="Century"/>
          <w:sz w:val="24"/>
          <w:szCs w:val="24"/>
        </w:rPr>
      </w:r>
    </w:p>
    <w:p>
      <w:pPr>
        <w:pStyle w:val="Titolo2"/>
        <w:jc w:val="both"/>
        <w:rPr>
          <w:rFonts w:ascii="Century" w:hAnsi="Century"/>
          <w:sz w:val="24"/>
          <w:szCs w:val="24"/>
        </w:rPr>
      </w:pPr>
      <w:r>
        <w:rPr>
          <w:rFonts w:ascii="Century" w:hAnsi="Century"/>
          <w:sz w:val="24"/>
          <w:szCs w:val="24"/>
        </w:rPr>
        <w:t>Art. 1 – Oggetto</w:t>
      </w:r>
    </w:p>
    <w:p>
      <w:pPr>
        <w:pStyle w:val="Corpodeltesto"/>
        <w:jc w:val="both"/>
        <w:rPr>
          <w:rFonts w:ascii="Century" w:hAnsi="Century"/>
          <w:sz w:val="24"/>
          <w:szCs w:val="24"/>
        </w:rPr>
      </w:pPr>
      <w:r>
        <w:rPr>
          <w:rFonts w:ascii="Century" w:hAnsi="Century"/>
          <w:sz w:val="24"/>
          <w:szCs w:val="24"/>
        </w:rPr>
        <w:t>Il Comune affida ad ASSOSULCIS ODV, che accetta, lo svolgimento temporaneo di attività accessorie di presidio e supporto operativo finalizzate alla salvaguardia del Museo Archeologico Comunale “Ferruccio Barreca”, delle relative pertinenze e dei beni ivi custoditi.</w:t>
      </w:r>
    </w:p>
    <w:p>
      <w:pPr>
        <w:pStyle w:val="Corpodeltesto"/>
        <w:jc w:val="both"/>
        <w:rPr>
          <w:rFonts w:ascii="Century" w:hAnsi="Century"/>
          <w:sz w:val="24"/>
          <w:szCs w:val="24"/>
        </w:rPr>
      </w:pPr>
      <w:r>
        <w:rPr>
          <w:rFonts w:ascii="Century" w:hAnsi="Century"/>
          <w:sz w:val="24"/>
          <w:szCs w:val="24"/>
        </w:rPr>
        <w:t>Le attività consisteranno in:</w:t>
      </w:r>
    </w:p>
    <w:p>
      <w:pPr>
        <w:pStyle w:val="Corpodeltesto"/>
        <w:jc w:val="both"/>
        <w:rPr>
          <w:rFonts w:ascii="Century" w:hAnsi="Century"/>
          <w:sz w:val="24"/>
          <w:szCs w:val="24"/>
        </w:rPr>
      </w:pPr>
      <w:r>
        <w:rPr>
          <w:rFonts w:ascii="Century" w:hAnsi="Century"/>
          <w:sz w:val="24"/>
          <w:szCs w:val="24"/>
        </w:rPr>
        <w:t>a) presidio passivo del compendio museale;</w:t>
      </w:r>
    </w:p>
    <w:p>
      <w:pPr>
        <w:pStyle w:val="Corpodeltesto"/>
        <w:jc w:val="both"/>
        <w:rPr>
          <w:rFonts w:ascii="Century" w:hAnsi="Century"/>
          <w:sz w:val="24"/>
          <w:szCs w:val="24"/>
        </w:rPr>
      </w:pPr>
      <w:r>
        <w:rPr>
          <w:rFonts w:ascii="Century" w:hAnsi="Century"/>
          <w:sz w:val="24"/>
          <w:szCs w:val="24"/>
        </w:rPr>
        <w:t>b) monitoraggio delle aree esterne e delle relative pertinenze;</w:t>
      </w:r>
    </w:p>
    <w:p>
      <w:pPr>
        <w:pStyle w:val="Corpodeltesto"/>
        <w:jc w:val="both"/>
        <w:rPr>
          <w:rFonts w:ascii="Century" w:hAnsi="Century"/>
          <w:sz w:val="24"/>
          <w:szCs w:val="24"/>
        </w:rPr>
      </w:pPr>
      <w:r>
        <w:rPr>
          <w:rFonts w:ascii="Century" w:hAnsi="Century"/>
          <w:sz w:val="24"/>
          <w:szCs w:val="24"/>
        </w:rPr>
        <w:t>c) osservazione, controllo visivo e segnalazione di eventuali intrusioni o accessi non autorizzati;</w:t>
      </w:r>
    </w:p>
    <w:p>
      <w:pPr>
        <w:pStyle w:val="Corpodeltesto"/>
        <w:jc w:val="both"/>
        <w:rPr>
          <w:rFonts w:ascii="Century" w:hAnsi="Century"/>
          <w:sz w:val="24"/>
          <w:szCs w:val="24"/>
        </w:rPr>
      </w:pPr>
      <w:r>
        <w:rPr>
          <w:rFonts w:ascii="Century" w:hAnsi="Century"/>
          <w:sz w:val="24"/>
          <w:szCs w:val="24"/>
        </w:rPr>
        <w:t>d) attività di supporto alla tutela e conservazione del patrimonio culturale comunale, limitatamente alle funzioni di presenza e pronta segnalazione agli organi competenti;</w:t>
      </w:r>
    </w:p>
    <w:p>
      <w:pPr>
        <w:pStyle w:val="Corpodeltesto"/>
        <w:jc w:val="both"/>
        <w:rPr>
          <w:rFonts w:ascii="Century" w:hAnsi="Century"/>
          <w:sz w:val="24"/>
          <w:szCs w:val="24"/>
        </w:rPr>
      </w:pPr>
      <w:r>
        <w:rPr>
          <w:rFonts w:ascii="Century" w:hAnsi="Century"/>
          <w:sz w:val="24"/>
          <w:szCs w:val="24"/>
        </w:rPr>
        <w:t>e) supporto operativo alle attività di salvaguardia del bene e delle strutture annesse.</w:t>
      </w:r>
    </w:p>
    <w:p>
      <w:pPr>
        <w:pStyle w:val="Titolo2"/>
        <w:jc w:val="both"/>
        <w:rPr>
          <w:rFonts w:ascii="Century" w:hAnsi="Century"/>
          <w:sz w:val="24"/>
          <w:szCs w:val="24"/>
        </w:rPr>
      </w:pPr>
      <w:r>
        <w:rPr>
          <w:rFonts w:ascii="Century" w:hAnsi="Century"/>
          <w:sz w:val="24"/>
          <w:szCs w:val="24"/>
        </w:rPr>
        <w:t>Art. 2 – Modalità di svolgimento</w:t>
      </w:r>
    </w:p>
    <w:p>
      <w:pPr>
        <w:pStyle w:val="Corpodeltesto"/>
        <w:jc w:val="both"/>
        <w:rPr>
          <w:rFonts w:ascii="Century" w:hAnsi="Century"/>
          <w:sz w:val="24"/>
          <w:szCs w:val="24"/>
        </w:rPr>
      </w:pPr>
      <w:r>
        <w:rPr>
          <w:rFonts w:ascii="Century" w:hAnsi="Century"/>
          <w:sz w:val="24"/>
          <w:szCs w:val="24"/>
        </w:rPr>
        <w:t>Le attività saranno svolte quotidianamente, compresi i giorni festivi, nella fascia oraria compresa tra le ore 23:00 e le ore 07:00 del giorno successivo, mediante turnazione predisposta dall’Associazione.</w:t>
      </w:r>
    </w:p>
    <w:p>
      <w:pPr>
        <w:pStyle w:val="Corpodeltesto"/>
        <w:jc w:val="both"/>
        <w:rPr>
          <w:rFonts w:ascii="Century" w:hAnsi="Century"/>
          <w:sz w:val="24"/>
          <w:szCs w:val="24"/>
        </w:rPr>
      </w:pPr>
      <w:r>
        <w:rPr>
          <w:rFonts w:ascii="Century" w:hAnsi="Century"/>
          <w:sz w:val="24"/>
          <w:szCs w:val="24"/>
        </w:rPr>
        <w:t>Durante il presidio dovranno essere effettuate attività di:</w:t>
      </w:r>
    </w:p>
    <w:p>
      <w:pPr>
        <w:pStyle w:val="Corpodeltesto"/>
        <w:numPr>
          <w:ilvl w:val="0"/>
          <w:numId w:val="3"/>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monitoraggio visivo del Museo Archeologico Comunale “Ferruccio Barreca” e delle relative pertinenze;</w:t>
      </w:r>
    </w:p>
    <w:p>
      <w:pPr>
        <w:pStyle w:val="Corpodeltesto"/>
        <w:numPr>
          <w:ilvl w:val="0"/>
          <w:numId w:val="3"/>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verifica degli accessi e delle condizioni esterne dei luoghi;</w:t>
      </w:r>
    </w:p>
    <w:p>
      <w:pPr>
        <w:pStyle w:val="Corpodeltesto"/>
        <w:numPr>
          <w:ilvl w:val="0"/>
          <w:numId w:val="3"/>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osservazione e segnalazione di eventuali intrusioni o accessi non autorizzati;</w:t>
      </w:r>
    </w:p>
    <w:p>
      <w:pPr>
        <w:pStyle w:val="Corpodeltesto"/>
        <w:numPr>
          <w:ilvl w:val="0"/>
          <w:numId w:val="3"/>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comunicazione tempestiva di eventi anomali, situazioni di rischio o criticità;</w:t>
      </w:r>
    </w:p>
    <w:p>
      <w:pPr>
        <w:pStyle w:val="Corpodeltesto"/>
        <w:numPr>
          <w:ilvl w:val="0"/>
          <w:numId w:val="3"/>
        </w:numPr>
        <w:tabs>
          <w:tab w:val="clear" w:pos="708"/>
          <w:tab w:val="left" w:pos="0" w:leader="none"/>
        </w:tabs>
        <w:ind w:left="707" w:hanging="283"/>
        <w:jc w:val="both"/>
        <w:rPr>
          <w:rFonts w:ascii="Century" w:hAnsi="Century"/>
          <w:sz w:val="24"/>
          <w:szCs w:val="24"/>
        </w:rPr>
      </w:pPr>
      <w:r>
        <w:rPr>
          <w:rFonts w:ascii="Century" w:hAnsi="Century"/>
          <w:sz w:val="24"/>
          <w:szCs w:val="24"/>
        </w:rPr>
        <w:t>rilevazione di eventuali danneggiamenti o anomalie riscontrate.</w:t>
      </w:r>
    </w:p>
    <w:p>
      <w:pPr>
        <w:pStyle w:val="Corpodeltesto"/>
        <w:jc w:val="both"/>
        <w:rPr>
          <w:rFonts w:ascii="Century" w:hAnsi="Century"/>
          <w:sz w:val="24"/>
          <w:szCs w:val="24"/>
        </w:rPr>
      </w:pPr>
      <w:r>
        <w:rPr>
          <w:rFonts w:ascii="Century" w:hAnsi="Century"/>
          <w:sz w:val="24"/>
          <w:szCs w:val="24"/>
        </w:rPr>
        <w:t>In presenza di criticità, anomalie o situazioni potenzialmente pregiudizievoli per la sicurezza del bene, dovranno essere immediatamente informati:</w:t>
      </w:r>
    </w:p>
    <w:p>
      <w:pPr>
        <w:pStyle w:val="Corpodeltesto"/>
        <w:numPr>
          <w:ilvl w:val="0"/>
          <w:numId w:val="4"/>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Comune di Sant’Antioco;</w:t>
      </w:r>
    </w:p>
    <w:p>
      <w:pPr>
        <w:pStyle w:val="Corpodeltesto"/>
        <w:numPr>
          <w:ilvl w:val="0"/>
          <w:numId w:val="4"/>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Comando di Polizia Locale;</w:t>
      </w:r>
    </w:p>
    <w:p>
      <w:pPr>
        <w:pStyle w:val="Corpodeltesto"/>
        <w:numPr>
          <w:ilvl w:val="0"/>
          <w:numId w:val="4"/>
        </w:numPr>
        <w:tabs>
          <w:tab w:val="clear" w:pos="708"/>
          <w:tab w:val="left" w:pos="0" w:leader="none"/>
        </w:tabs>
        <w:ind w:left="707" w:hanging="283"/>
        <w:jc w:val="both"/>
        <w:rPr>
          <w:rFonts w:ascii="Century" w:hAnsi="Century"/>
          <w:sz w:val="24"/>
          <w:szCs w:val="24"/>
        </w:rPr>
      </w:pPr>
      <w:r>
        <w:rPr>
          <w:rFonts w:ascii="Century" w:hAnsi="Century"/>
          <w:sz w:val="24"/>
          <w:szCs w:val="24"/>
        </w:rPr>
        <w:t>le Forze dell’Ordine competenti.</w:t>
      </w:r>
    </w:p>
    <w:p>
      <w:pPr>
        <w:pStyle w:val="Titolo2"/>
        <w:jc w:val="both"/>
        <w:rPr>
          <w:rFonts w:ascii="Century" w:hAnsi="Century"/>
          <w:sz w:val="24"/>
          <w:szCs w:val="24"/>
        </w:rPr>
      </w:pPr>
      <w:r>
        <w:rPr>
          <w:rFonts w:ascii="Century" w:hAnsi="Century"/>
          <w:sz w:val="24"/>
          <w:szCs w:val="24"/>
        </w:rPr>
        <w:t>Art. 3 – Limiti delle attività</w:t>
      </w:r>
    </w:p>
    <w:p>
      <w:pPr>
        <w:pStyle w:val="Corpodeltesto"/>
        <w:jc w:val="both"/>
        <w:rPr>
          <w:rFonts w:ascii="Century" w:hAnsi="Century"/>
          <w:sz w:val="24"/>
          <w:szCs w:val="24"/>
        </w:rPr>
      </w:pPr>
      <w:r>
        <w:rPr>
          <w:rFonts w:ascii="Century" w:hAnsi="Century"/>
          <w:sz w:val="24"/>
          <w:szCs w:val="24"/>
        </w:rPr>
        <w:t>Le attività previste dal presente atto:</w:t>
      </w:r>
    </w:p>
    <w:p>
      <w:pPr>
        <w:pStyle w:val="Corpodeltesto"/>
        <w:numPr>
          <w:ilvl w:val="0"/>
          <w:numId w:val="5"/>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non costituiscono attività di vigilanza privata ai sensi della normativa vigente;</w:t>
      </w:r>
    </w:p>
    <w:p>
      <w:pPr>
        <w:pStyle w:val="Corpodeltesto"/>
        <w:numPr>
          <w:ilvl w:val="0"/>
          <w:numId w:val="5"/>
        </w:numPr>
        <w:tabs>
          <w:tab w:val="clear" w:pos="708"/>
          <w:tab w:val="left" w:pos="0" w:leader="none"/>
        </w:tabs>
        <w:ind w:left="707" w:hanging="283"/>
        <w:jc w:val="both"/>
        <w:rPr>
          <w:rFonts w:ascii="Century" w:hAnsi="Century"/>
          <w:sz w:val="24"/>
          <w:szCs w:val="24"/>
        </w:rPr>
      </w:pPr>
      <w:r>
        <w:rPr>
          <w:rFonts w:ascii="Century" w:hAnsi="Century"/>
          <w:sz w:val="24"/>
          <w:szCs w:val="24"/>
        </w:rPr>
        <w:t>non comportano esercizio di funzioni di polizia amministrativa, giudiziaria o di pubblica sicurezza.</w:t>
      </w:r>
    </w:p>
    <w:p>
      <w:pPr>
        <w:pStyle w:val="Corpodeltesto"/>
        <w:jc w:val="both"/>
        <w:rPr>
          <w:rFonts w:ascii="Century" w:hAnsi="Century"/>
          <w:sz w:val="24"/>
          <w:szCs w:val="24"/>
        </w:rPr>
      </w:pPr>
      <w:r>
        <w:rPr>
          <w:rFonts w:ascii="Century" w:hAnsi="Century"/>
          <w:sz w:val="24"/>
          <w:szCs w:val="24"/>
        </w:rPr>
        <w:t>Restano espressamente escluse:</w:t>
      </w:r>
    </w:p>
    <w:p>
      <w:pPr>
        <w:pStyle w:val="Corpodeltesto"/>
        <w:numPr>
          <w:ilvl w:val="0"/>
          <w:numId w:val="6"/>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l’identificazione delle persone;</w:t>
      </w:r>
    </w:p>
    <w:p>
      <w:pPr>
        <w:pStyle w:val="Corpodeltesto"/>
        <w:numPr>
          <w:ilvl w:val="0"/>
          <w:numId w:val="6"/>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il controllo di documenti o titoli di accesso;</w:t>
      </w:r>
    </w:p>
    <w:p>
      <w:pPr>
        <w:pStyle w:val="Corpodeltesto"/>
        <w:numPr>
          <w:ilvl w:val="0"/>
          <w:numId w:val="6"/>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l’esercizio di attività coercitive o autoritative;</w:t>
      </w:r>
    </w:p>
    <w:p>
      <w:pPr>
        <w:pStyle w:val="Corpodeltesto"/>
        <w:numPr>
          <w:ilvl w:val="0"/>
          <w:numId w:val="6"/>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l’imposizione o limitazione dell’accesso ai luoghi;</w:t>
      </w:r>
    </w:p>
    <w:p>
      <w:pPr>
        <w:pStyle w:val="Corpodeltesto"/>
        <w:numPr>
          <w:ilvl w:val="0"/>
          <w:numId w:val="6"/>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l’uso della forza;</w:t>
      </w:r>
    </w:p>
    <w:p>
      <w:pPr>
        <w:pStyle w:val="Corpodeltesto"/>
        <w:numPr>
          <w:ilvl w:val="0"/>
          <w:numId w:val="6"/>
        </w:numPr>
        <w:tabs>
          <w:tab w:val="clear" w:pos="708"/>
          <w:tab w:val="left" w:pos="0" w:leader="none"/>
        </w:tabs>
        <w:ind w:left="707" w:hanging="283"/>
        <w:jc w:val="both"/>
        <w:rPr>
          <w:rFonts w:ascii="Century" w:hAnsi="Century"/>
          <w:sz w:val="24"/>
          <w:szCs w:val="24"/>
        </w:rPr>
      </w:pPr>
      <w:r>
        <w:rPr>
          <w:rFonts w:ascii="Century" w:hAnsi="Century"/>
          <w:sz w:val="24"/>
          <w:szCs w:val="24"/>
        </w:rPr>
        <w:t>qualunque attività sanzionatoria o riconducibile a pubbliche funzioni riservate per legge ad altri soggetti.</w:t>
      </w:r>
    </w:p>
    <w:p>
      <w:pPr>
        <w:pStyle w:val="Corpodeltesto"/>
        <w:jc w:val="both"/>
        <w:rPr>
          <w:rFonts w:ascii="Century" w:hAnsi="Century"/>
          <w:sz w:val="24"/>
          <w:szCs w:val="24"/>
        </w:rPr>
      </w:pPr>
      <w:r>
        <w:rPr>
          <w:rFonts w:ascii="Century" w:hAnsi="Century"/>
          <w:sz w:val="24"/>
          <w:szCs w:val="24"/>
        </w:rPr>
        <w:t>L’attività dell’Associazione sarà limitata esclusivamente alla presenza sul posto, all’osservazione, al monitoraggio visivo e alla tempestiva segnalazione di eventuali anomalie o criticità agli organi competenti.</w:t>
      </w:r>
    </w:p>
    <w:p>
      <w:pPr>
        <w:pStyle w:val="Titolo2"/>
        <w:jc w:val="both"/>
        <w:rPr>
          <w:rFonts w:ascii="Century" w:hAnsi="Century"/>
          <w:sz w:val="24"/>
          <w:szCs w:val="24"/>
        </w:rPr>
      </w:pPr>
      <w:r>
        <w:rPr>
          <w:rFonts w:ascii="Century" w:hAnsi="Century"/>
          <w:sz w:val="24"/>
          <w:szCs w:val="24"/>
        </w:rPr>
        <w:t>Art. 4 – Durata</w:t>
      </w:r>
    </w:p>
    <w:p>
      <w:pPr>
        <w:pStyle w:val="Corpodeltesto"/>
        <w:jc w:val="both"/>
        <w:rPr>
          <w:rFonts w:ascii="Century" w:hAnsi="Century"/>
          <w:sz w:val="24"/>
          <w:szCs w:val="24"/>
        </w:rPr>
      </w:pPr>
      <w:r>
        <w:rPr>
          <w:rFonts w:ascii="Century" w:hAnsi="Century"/>
          <w:sz w:val="24"/>
          <w:szCs w:val="24"/>
        </w:rPr>
        <w:t>Il presente atto integrativo ha durata temporanea pari a 30 giorni decorrenti dalla data di sottoscrizione, salvo eventuale proroga espressamente concordata tra le Parti.</w:t>
      </w:r>
    </w:p>
    <w:p>
      <w:pPr>
        <w:pStyle w:val="Titolo2"/>
        <w:jc w:val="both"/>
        <w:rPr>
          <w:rFonts w:ascii="Century" w:hAnsi="Century"/>
          <w:sz w:val="24"/>
          <w:szCs w:val="24"/>
        </w:rPr>
      </w:pPr>
      <w:r>
        <w:rPr>
          <w:rFonts w:ascii="Century" w:hAnsi="Century"/>
          <w:sz w:val="24"/>
          <w:szCs w:val="24"/>
        </w:rPr>
        <w:t>Art. 5 – Contributo economico e rendicontazione</w:t>
      </w:r>
    </w:p>
    <w:p>
      <w:pPr>
        <w:pStyle w:val="Corpodeltesto"/>
        <w:jc w:val="both"/>
        <w:rPr>
          <w:rFonts w:ascii="Century" w:hAnsi="Century"/>
          <w:sz w:val="24"/>
          <w:szCs w:val="24"/>
        </w:rPr>
      </w:pPr>
      <w:r>
        <w:rPr>
          <w:rFonts w:ascii="Century" w:hAnsi="Century"/>
          <w:sz w:val="24"/>
          <w:szCs w:val="24"/>
        </w:rPr>
        <w:t>Per lo svolgimento delle attività previste dal presente atto integrativo, il Comune riconosce ad ASSOSULCIS ODV un contributo straordinario massimo complessivo pari ad euro 3.000,00.</w:t>
      </w:r>
    </w:p>
    <w:p>
      <w:pPr>
        <w:pStyle w:val="Corpodeltesto"/>
        <w:jc w:val="both"/>
        <w:rPr>
          <w:rFonts w:ascii="Century" w:hAnsi="Century"/>
          <w:sz w:val="24"/>
          <w:szCs w:val="24"/>
        </w:rPr>
      </w:pPr>
      <w:r>
        <w:rPr>
          <w:rFonts w:ascii="Century" w:hAnsi="Century"/>
          <w:sz w:val="24"/>
          <w:szCs w:val="24"/>
        </w:rPr>
        <w:t>Il contributo è finalizzato esclusivamente al rimborso delle spese sostenute per l’organizzazione e lo svolgimento delle attività oggetto del presente accordo, comprese, a titolo esemplificativo:</w:t>
      </w:r>
    </w:p>
    <w:p>
      <w:pPr>
        <w:pStyle w:val="Corpodeltesto"/>
        <w:numPr>
          <w:ilvl w:val="0"/>
          <w:numId w:val="7"/>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spese organizzative;</w:t>
      </w:r>
    </w:p>
    <w:p>
      <w:pPr>
        <w:pStyle w:val="Corpodeltesto"/>
        <w:numPr>
          <w:ilvl w:val="0"/>
          <w:numId w:val="7"/>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utilizzo di mezzi e attrezzature;</w:t>
      </w:r>
    </w:p>
    <w:p>
      <w:pPr>
        <w:pStyle w:val="Corpodeltesto"/>
        <w:numPr>
          <w:ilvl w:val="0"/>
          <w:numId w:val="7"/>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carburanti;</w:t>
      </w:r>
    </w:p>
    <w:p>
      <w:pPr>
        <w:pStyle w:val="Corpodeltesto"/>
        <w:numPr>
          <w:ilvl w:val="0"/>
          <w:numId w:val="7"/>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dispositivi di sicurezza;</w:t>
      </w:r>
    </w:p>
    <w:p>
      <w:pPr>
        <w:pStyle w:val="Corpodeltesto"/>
        <w:numPr>
          <w:ilvl w:val="0"/>
          <w:numId w:val="7"/>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assicurazioni;</w:t>
      </w:r>
    </w:p>
    <w:p>
      <w:pPr>
        <w:pStyle w:val="Corpodeltesto"/>
        <w:numPr>
          <w:ilvl w:val="0"/>
          <w:numId w:val="7"/>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spese logistiche;</w:t>
      </w:r>
    </w:p>
    <w:p>
      <w:pPr>
        <w:pStyle w:val="Corpodeltesto"/>
        <w:numPr>
          <w:ilvl w:val="0"/>
          <w:numId w:val="7"/>
        </w:numPr>
        <w:tabs>
          <w:tab w:val="clear" w:pos="708"/>
          <w:tab w:val="left" w:pos="0" w:leader="none"/>
        </w:tabs>
        <w:ind w:left="707" w:hanging="283"/>
        <w:jc w:val="both"/>
        <w:rPr>
          <w:rFonts w:ascii="Century" w:hAnsi="Century"/>
          <w:sz w:val="24"/>
          <w:szCs w:val="24"/>
        </w:rPr>
      </w:pPr>
      <w:r>
        <w:rPr>
          <w:rFonts w:ascii="Century" w:hAnsi="Century"/>
          <w:sz w:val="24"/>
          <w:szCs w:val="24"/>
        </w:rPr>
        <w:t>ulteriori costi direttamente connessi alle attività svolte.</w:t>
      </w:r>
    </w:p>
    <w:p>
      <w:pPr>
        <w:pStyle w:val="Corpodeltesto"/>
        <w:jc w:val="both"/>
        <w:rPr>
          <w:rFonts w:ascii="Century" w:hAnsi="Century"/>
          <w:sz w:val="24"/>
          <w:szCs w:val="24"/>
        </w:rPr>
      </w:pPr>
      <w:r>
        <w:rPr>
          <w:rFonts w:ascii="Century" w:hAnsi="Century"/>
          <w:sz w:val="24"/>
          <w:szCs w:val="24"/>
        </w:rPr>
        <w:t>L’erogazione del contributo avverrà previa presentazione:</w:t>
      </w:r>
    </w:p>
    <w:p>
      <w:pPr>
        <w:pStyle w:val="Corpodeltesto"/>
        <w:numPr>
          <w:ilvl w:val="0"/>
          <w:numId w:val="8"/>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di una relazione conclusiva sulle attività svolte;</w:t>
      </w:r>
    </w:p>
    <w:p>
      <w:pPr>
        <w:pStyle w:val="Corpodeltesto"/>
        <w:numPr>
          <w:ilvl w:val="0"/>
          <w:numId w:val="8"/>
        </w:numPr>
        <w:tabs>
          <w:tab w:val="clear" w:pos="708"/>
          <w:tab w:val="left" w:pos="0" w:leader="none"/>
        </w:tabs>
        <w:spacing w:before="0" w:after="0"/>
        <w:ind w:left="707" w:hanging="283"/>
        <w:jc w:val="both"/>
        <w:rPr>
          <w:rFonts w:ascii="Century" w:hAnsi="Century"/>
          <w:sz w:val="24"/>
          <w:szCs w:val="24"/>
        </w:rPr>
      </w:pPr>
      <w:r>
        <w:rPr>
          <w:rFonts w:ascii="Century" w:hAnsi="Century"/>
          <w:sz w:val="24"/>
          <w:szCs w:val="24"/>
        </w:rPr>
        <w:t>della rendicontazione delle spese sostenute;</w:t>
      </w:r>
    </w:p>
    <w:p>
      <w:pPr>
        <w:pStyle w:val="Corpodeltesto"/>
        <w:numPr>
          <w:ilvl w:val="0"/>
          <w:numId w:val="8"/>
        </w:numPr>
        <w:tabs>
          <w:tab w:val="clear" w:pos="708"/>
          <w:tab w:val="left" w:pos="0" w:leader="none"/>
        </w:tabs>
        <w:ind w:left="707" w:hanging="283"/>
        <w:jc w:val="both"/>
        <w:rPr>
          <w:rFonts w:ascii="Century" w:hAnsi="Century"/>
          <w:sz w:val="24"/>
          <w:szCs w:val="24"/>
        </w:rPr>
      </w:pPr>
      <w:r>
        <w:rPr>
          <w:rFonts w:ascii="Century" w:hAnsi="Century"/>
          <w:sz w:val="24"/>
          <w:szCs w:val="24"/>
        </w:rPr>
        <w:t>della documentazione giustificativa ritenuta ammissibile dal Comune.</w:t>
      </w:r>
    </w:p>
    <w:p>
      <w:pPr>
        <w:pStyle w:val="Titolo2"/>
        <w:jc w:val="both"/>
        <w:rPr>
          <w:rFonts w:ascii="Century" w:hAnsi="Century"/>
          <w:sz w:val="24"/>
          <w:szCs w:val="24"/>
        </w:rPr>
      </w:pPr>
      <w:r>
        <w:rPr>
          <w:rFonts w:ascii="Century" w:hAnsi="Century"/>
          <w:sz w:val="24"/>
          <w:szCs w:val="24"/>
        </w:rPr>
        <w:t>Art. 6 – Rinvio</w:t>
      </w:r>
    </w:p>
    <w:p>
      <w:pPr>
        <w:pStyle w:val="Corpodeltesto"/>
        <w:jc w:val="both"/>
        <w:rPr>
          <w:rFonts w:ascii="Century" w:hAnsi="Century"/>
          <w:sz w:val="24"/>
          <w:szCs w:val="24"/>
        </w:rPr>
      </w:pPr>
      <w:r>
        <w:rPr>
          <w:rFonts w:ascii="Century" w:hAnsi="Century"/>
          <w:sz w:val="24"/>
          <w:szCs w:val="24"/>
        </w:rPr>
        <w:t>Per quanto non espressamente previsto dal presente atto integrativo, restano ferme e integralmente valide tutte le disposizioni contenute nella Convenzione repertorio n. 3049 del 28/06/2024.</w:t>
      </w:r>
    </w:p>
    <w:p>
      <w:pPr>
        <w:pStyle w:val="Corpodeltesto"/>
        <w:jc w:val="both"/>
        <w:rPr>
          <w:rFonts w:ascii="Century" w:hAnsi="Century"/>
          <w:sz w:val="24"/>
          <w:szCs w:val="24"/>
        </w:rPr>
      </w:pPr>
      <w:r>
        <w:rPr>
          <w:rFonts w:ascii="Century" w:hAnsi="Century"/>
          <w:sz w:val="24"/>
          <w:szCs w:val="24"/>
        </w:rPr>
        <w:t>Letto, approvato e sottoscritto.</w:t>
      </w:r>
    </w:p>
    <w:p>
      <w:pPr>
        <w:pStyle w:val="Corpodeltesto"/>
        <w:jc w:val="both"/>
        <w:rPr>
          <w:rFonts w:ascii="Century" w:hAnsi="Century"/>
          <w:sz w:val="24"/>
          <w:szCs w:val="24"/>
        </w:rPr>
      </w:pPr>
      <w:r>
        <w:rPr>
          <w:rFonts w:ascii="Century" w:hAnsi="Century"/>
          <w:sz w:val="24"/>
          <w:szCs w:val="24"/>
        </w:rPr>
        <w:t>Sant’Antioco, ___________________</w:t>
      </w:r>
    </w:p>
    <w:p>
      <w:pPr>
        <w:pStyle w:val="Corpodeltesto"/>
        <w:jc w:val="both"/>
        <w:rPr>
          <w:rFonts w:ascii="Century" w:hAnsi="Century"/>
          <w:sz w:val="24"/>
          <w:szCs w:val="24"/>
        </w:rPr>
      </w:pPr>
      <w:r>
        <w:rPr>
          <w:rFonts w:ascii="Century" w:hAnsi="Century"/>
          <w:sz w:val="24"/>
          <w:szCs w:val="24"/>
        </w:rPr>
        <w:t>Per il Comune di Sant’Antioco</w:t>
      </w:r>
    </w:p>
    <w:p>
      <w:pPr>
        <w:pStyle w:val="Corpodeltesto"/>
        <w:jc w:val="both"/>
        <w:rPr>
          <w:rFonts w:ascii="Century" w:hAnsi="Century"/>
          <w:sz w:val="24"/>
          <w:szCs w:val="24"/>
        </w:rPr>
      </w:pPr>
      <w:r>
        <w:rPr>
          <w:rFonts w:ascii="Century" w:hAnsi="Century"/>
          <w:sz w:val="24"/>
          <w:szCs w:val="24"/>
        </w:rPr>
      </w:r>
    </w:p>
    <w:p>
      <w:pPr>
        <w:pStyle w:val="Corpodeltesto"/>
        <w:jc w:val="both"/>
        <w:rPr>
          <w:rFonts w:ascii="Century" w:hAnsi="Century"/>
          <w:sz w:val="24"/>
          <w:szCs w:val="24"/>
        </w:rPr>
      </w:pPr>
      <w:r>
        <w:rPr>
          <w:rFonts w:ascii="Century" w:hAnsi="Century"/>
          <w:sz w:val="24"/>
          <w:szCs w:val="24"/>
        </w:rPr>
        <w:t>___________________________</w:t>
      </w:r>
    </w:p>
    <w:p>
      <w:pPr>
        <w:pStyle w:val="Corpodeltesto"/>
        <w:jc w:val="both"/>
        <w:rPr>
          <w:rFonts w:ascii="Century" w:hAnsi="Century"/>
          <w:sz w:val="24"/>
          <w:szCs w:val="24"/>
        </w:rPr>
      </w:pPr>
      <w:r>
        <w:rPr>
          <w:rFonts w:ascii="Century" w:hAnsi="Century"/>
          <w:sz w:val="24"/>
          <w:szCs w:val="24"/>
        </w:rPr>
      </w:r>
    </w:p>
    <w:p>
      <w:pPr>
        <w:pStyle w:val="Corpodeltesto"/>
        <w:jc w:val="both"/>
        <w:rPr>
          <w:rFonts w:ascii="Century" w:hAnsi="Century"/>
          <w:sz w:val="24"/>
          <w:szCs w:val="24"/>
        </w:rPr>
      </w:pPr>
      <w:r>
        <w:rPr>
          <w:rFonts w:ascii="Century" w:hAnsi="Century"/>
          <w:sz w:val="24"/>
          <w:szCs w:val="24"/>
        </w:rPr>
        <w:t>Per ASSOSULCIS ODV</w:t>
      </w:r>
    </w:p>
    <w:p>
      <w:pPr>
        <w:pStyle w:val="Corpodeltesto"/>
        <w:jc w:val="both"/>
        <w:rPr>
          <w:rFonts w:ascii="Century" w:hAnsi="Century"/>
          <w:sz w:val="24"/>
          <w:szCs w:val="24"/>
        </w:rPr>
      </w:pPr>
      <w:r>
        <w:rPr>
          <w:rFonts w:ascii="Century" w:hAnsi="Century"/>
          <w:sz w:val="24"/>
          <w:szCs w:val="24"/>
        </w:rPr>
      </w:r>
    </w:p>
    <w:p>
      <w:pPr>
        <w:pStyle w:val="Corpodeltesto"/>
        <w:jc w:val="both"/>
        <w:rPr>
          <w:rFonts w:ascii="Century" w:hAnsi="Century"/>
          <w:sz w:val="24"/>
          <w:szCs w:val="24"/>
        </w:rPr>
      </w:pPr>
      <w:r>
        <w:rPr>
          <w:rFonts w:ascii="Century" w:hAnsi="Century"/>
          <w:sz w:val="24"/>
          <w:szCs w:val="24"/>
        </w:rPr>
        <w:t>___________________________</w:t>
      </w:r>
    </w:p>
    <w:p>
      <w:pPr>
        <w:pStyle w:val="Provs04"/>
        <w:rPr>
          <w:rFonts w:ascii="Century" w:hAnsi="Century"/>
          <w:sz w:val="24"/>
          <w:szCs w:val="24"/>
        </w:rPr>
      </w:pPr>
      <w:r>
        <w:rPr>
          <w:rFonts w:ascii="Century" w:hAnsi="Century"/>
          <w:sz w:val="24"/>
          <w:szCs w:val="24"/>
        </w:rPr>
      </w:r>
    </w:p>
    <w:sectPr>
      <w:headerReference w:type="default" r:id="rId3"/>
      <w:headerReference w:type="first" r:id="rId4"/>
      <w:footerReference w:type="default" r:id="rId5"/>
      <w:footerReference w:type="first" r:id="rId6"/>
      <w:type w:val="nextPage"/>
      <w:pgSz w:w="11906" w:h="16838"/>
      <w:pgMar w:left="1134" w:right="1134" w:header="490" w:top="778" w:footer="720" w:bottom="1134"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0"/>
    <w:family w:val="roman"/>
    <w:pitch w:val="variable"/>
  </w:font>
  <w:font w:name="Verdana">
    <w:charset w:val="00"/>
    <w:family w:val="roman"/>
    <w:pitch w:val="variable"/>
  </w:font>
  <w:font w:name="Arial">
    <w:charset w:val="00"/>
    <w:family w:val="roman"/>
    <w:pitch w:val="variable"/>
  </w:font>
  <w:font w:name="Tahoma">
    <w:charset w:val="00"/>
    <w:family w:val="roman"/>
    <w:pitch w:val="variable"/>
  </w:font>
  <w:font w:name="Courier New">
    <w:charset w:val="00"/>
    <w:family w:val="roman"/>
    <w:pitch w:val="variable"/>
  </w:font>
  <w:font w:name="Calibri">
    <w:charset w:val="00"/>
    <w:family w:val="roman"/>
    <w:pitch w:val="variable"/>
  </w:font>
  <w:font w:name="Century">
    <w:charset w:val="01"/>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jc w:val="right"/>
      <w:rPr>
        <w:rFonts w:ascii="Verdana" w:hAnsi="Verdana"/>
        <w:sz w:val="20"/>
        <w:szCs w:val="20"/>
      </w:rPr>
    </w:pPr>
    <w:r>
      <w:rPr>
        <w:rFonts w:ascii="Verdana" w:hAnsi="Verdana"/>
        <w:sz w:val="20"/>
        <w:szCs w:val="20"/>
      </w:rPr>
    </w:r>
  </w:p>
  <w:tbl>
    <w:tblPr>
      <w:tblW w:w="9638" w:type="dxa"/>
      <w:jc w:val="left"/>
      <w:tblInd w:w="0" w:type="dxa"/>
      <w:tblCellMar>
        <w:top w:w="55" w:type="dxa"/>
        <w:left w:w="55" w:type="dxa"/>
        <w:bottom w:w="55" w:type="dxa"/>
        <w:right w:w="55" w:type="dxa"/>
      </w:tblCellMar>
      <w:tblLook w:firstRow="1" w:noVBand="1" w:lastRow="0" w:firstColumn="1" w:lastColumn="0" w:noHBand="0" w:val="04a0"/>
    </w:tblPr>
    <w:tblGrid>
      <w:gridCol w:w="9638"/>
    </w:tblGrid>
    <w:tr>
      <w:trPr/>
      <w:tc>
        <w:tcPr>
          <w:tcW w:w="9638" w:type="dxa"/>
          <w:tcBorders>
            <w:bottom w:val="single" w:sz="2" w:space="0" w:color="801900"/>
          </w:tcBorders>
        </w:tcPr>
        <w:p>
          <w:pPr>
            <w:pStyle w:val="Pidipagina"/>
            <w:jc w:val="center"/>
            <w:rPr>
              <w:rFonts w:ascii="Calibri" w:hAnsi="Calibri"/>
              <w:i/>
              <w:i/>
              <w:iCs/>
              <w:smallCaps/>
              <w:sz w:val="20"/>
              <w:szCs w:val="20"/>
            </w:rPr>
          </w:pPr>
          <w:r>
            <w:rPr/>
          </w:r>
        </w:p>
      </w:tc>
    </w:tr>
  </w:tbl>
  <w:p>
    <w:pPr>
      <w:pStyle w:val="Pidipagina"/>
      <w:jc w:val="center"/>
      <w:rPr>
        <w:rFonts w:ascii="Tahoma" w:hAnsi="Tahoma"/>
        <w:sz w:val="20"/>
        <w:szCs w:val="20"/>
      </w:rPr>
    </w:pPr>
    <w:r>
      <w:rPr>
        <w:rFonts w:ascii="Tahoma" w:hAnsi="Tahoma"/>
        <w:sz w:val="20"/>
        <w:szCs w:val="2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9638" w:type="dxa"/>
      <w:jc w:val="left"/>
      <w:tblInd w:w="0" w:type="dxa"/>
      <w:tblCellMar>
        <w:top w:w="55" w:type="dxa"/>
        <w:left w:w="55" w:type="dxa"/>
        <w:bottom w:w="55" w:type="dxa"/>
        <w:right w:w="55" w:type="dxa"/>
      </w:tblCellMar>
      <w:tblLook w:firstRow="1" w:noVBand="1" w:lastRow="0" w:firstColumn="1" w:lastColumn="0" w:noHBand="0" w:val="04a0"/>
    </w:tblPr>
    <w:tblGrid>
      <w:gridCol w:w="9638"/>
    </w:tblGrid>
    <w:tr>
      <w:trPr/>
      <w:tc>
        <w:tcPr>
          <w:tcW w:w="9638" w:type="dxa"/>
          <w:tcBorders>
            <w:top w:val="single" w:sz="2" w:space="0" w:color="801900"/>
          </w:tcBorders>
        </w:tcPr>
        <w:p>
          <w:pPr>
            <w:pStyle w:val="Contenutotabella"/>
            <w:jc w:val="right"/>
            <w:rPr>
              <w:rFonts w:ascii="Verdana" w:hAnsi="Verdana"/>
              <w:sz w:val="4"/>
              <w:szCs w:val="4"/>
            </w:rPr>
          </w:pPr>
          <w:r>
            <w:rPr>
              <w:rFonts w:ascii="Verdana" w:hAnsi="Verdana"/>
              <w:sz w:val="4"/>
              <w:szCs w:val="4"/>
            </w:rPr>
          </w:r>
        </w:p>
      </w:tc>
    </w:tr>
  </w:tbl>
  <w:p>
    <w:pPr>
      <w:pStyle w:val="Pidipagina"/>
      <w:jc w:val="center"/>
      <w:rPr>
        <w:rFonts w:ascii="Calibri" w:hAnsi="Calibri"/>
        <w:i/>
        <w:i/>
        <w:iCs/>
        <w:smallCaps/>
        <w:sz w:val="20"/>
        <w:szCs w:val="20"/>
      </w:rPr>
    </w:pPr>
    <w:r>
      <w:rPr/>
    </w:r>
    <w:bookmarkStart w:id="0" w:name="_0__DdeLink__13055_1091390593"/>
    <w:bookmarkStart w:id="1" w:name="_0__DdeLink__13055_1091390593"/>
    <w:bookmarkEnd w:id="1"/>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andard"/>
      <w:jc w:val="center"/>
      <w:rPr>
        <w:rFonts w:ascii="Tahoma" w:hAnsi="Tahoma"/>
        <w:color w:val="000000"/>
      </w:rPr>
    </w:pPr>
    <w:r>
      <w:drawing>
        <wp:anchor behindDoc="1" distT="0" distB="0" distL="0" distR="0" simplePos="0" locked="0" layoutInCell="1" allowOverlap="1" relativeHeight="5">
          <wp:simplePos x="0" y="0"/>
          <wp:positionH relativeFrom="column">
            <wp:posOffset>372110</wp:posOffset>
          </wp:positionH>
          <wp:positionV relativeFrom="paragraph">
            <wp:posOffset>2540</wp:posOffset>
          </wp:positionV>
          <wp:extent cx="542925" cy="713105"/>
          <wp:effectExtent l="0" t="0" r="0" b="0"/>
          <wp:wrapNone/>
          <wp:docPr id="2" name="immagini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i1" descr=""/>
                  <pic:cNvPicPr>
                    <a:picLocks noChangeAspect="1" noChangeArrowheads="1"/>
                  </pic:cNvPicPr>
                </pic:nvPicPr>
                <pic:blipFill>
                  <a:blip r:embed="rId1"/>
                  <a:stretch>
                    <a:fillRect/>
                  </a:stretch>
                </pic:blipFill>
                <pic:spPr bwMode="auto">
                  <a:xfrm>
                    <a:off x="0" y="0"/>
                    <a:ext cx="542925" cy="713105"/>
                  </a:xfrm>
                  <a:prstGeom prst="rect">
                    <a:avLst/>
                  </a:prstGeom>
                </pic:spPr>
              </pic:pic>
            </a:graphicData>
          </a:graphic>
        </wp:anchor>
      </w:drawing>
    </w:r>
    <w:r>
      <w:rPr>
        <w:rFonts w:ascii="Calibri" w:hAnsi="Calibri"/>
        <w:color w:val="000000"/>
        <w:sz w:val="56"/>
        <w:szCs w:val="40"/>
      </w:rPr>
      <w:t>C</w:t>
    </w:r>
    <w:r>
      <w:rPr>
        <w:rFonts w:ascii="Calibri" w:hAnsi="Calibri"/>
        <w:color w:val="000000"/>
        <w:sz w:val="48"/>
        <w:szCs w:val="40"/>
      </w:rPr>
      <w:t>omune</w:t>
    </w:r>
    <w:r>
      <w:rPr>
        <w:rFonts w:ascii="Calibri" w:hAnsi="Calibri"/>
        <w:color w:val="000000"/>
        <w:sz w:val="36"/>
        <w:szCs w:val="40"/>
      </w:rPr>
      <w:t xml:space="preserve"> </w:t>
    </w:r>
    <w:r>
      <w:rPr>
        <w:rFonts w:ascii="Calibri" w:hAnsi="Calibri"/>
        <w:color w:val="000000"/>
        <w:sz w:val="48"/>
        <w:szCs w:val="52"/>
      </w:rPr>
      <w:t>di</w:t>
    </w:r>
    <w:r>
      <w:rPr>
        <w:rFonts w:ascii="Calibri" w:hAnsi="Calibri"/>
        <w:color w:val="000000"/>
        <w:sz w:val="36"/>
        <w:szCs w:val="40"/>
      </w:rPr>
      <w:t xml:space="preserve"> </w:t>
    </w:r>
    <w:r>
      <w:rPr>
        <w:rFonts w:ascii="Calibri" w:hAnsi="Calibri"/>
        <w:color w:val="000000"/>
        <w:sz w:val="56"/>
        <w:szCs w:val="72"/>
      </w:rPr>
      <w:t>S</w:t>
    </w:r>
    <w:r>
      <w:rPr>
        <w:rFonts w:ascii="Calibri" w:hAnsi="Calibri"/>
        <w:color w:val="000000"/>
        <w:sz w:val="48"/>
        <w:szCs w:val="40"/>
      </w:rPr>
      <w:t>ant’</w:t>
    </w:r>
    <w:r>
      <w:rPr>
        <w:rFonts w:ascii="Calibri" w:hAnsi="Calibri"/>
        <w:color w:val="000000"/>
        <w:sz w:val="56"/>
        <w:szCs w:val="72"/>
      </w:rPr>
      <w:t>A</w:t>
    </w:r>
    <w:r>
      <w:rPr>
        <w:rFonts w:ascii="Calibri" w:hAnsi="Calibri"/>
        <w:color w:val="000000"/>
        <w:sz w:val="48"/>
        <w:szCs w:val="40"/>
      </w:rPr>
      <w:t>ntioco</w:t>
    </w:r>
    <w:r>
      <w:rPr>
        <w:rFonts w:ascii="Calibri" w:hAnsi="Calibri"/>
        <w:color w:val="000000"/>
        <w:sz w:val="36"/>
        <w:szCs w:val="40"/>
      </w:rPr>
      <w:tab/>
    </w:r>
  </w:p>
  <w:p>
    <w:pPr>
      <w:pStyle w:val="Standard"/>
      <w:jc w:val="center"/>
      <w:rPr>
        <w:rFonts w:ascii="Tahoma" w:hAnsi="Tahoma"/>
        <w:color w:val="000000"/>
      </w:rPr>
    </w:pPr>
    <w:r>
      <w:rPr>
        <w:rFonts w:ascii="Calibri" w:hAnsi="Calibri"/>
        <w:color w:val="000000"/>
      </w:rPr>
      <w:t>Provincia del Sud</w:t>
    </w:r>
    <w:r>
      <w:rPr>
        <w:rFonts w:cs="Calibri" w:ascii="Calibri" w:hAnsi="Calibri"/>
        <w:color w:val="000000"/>
      </w:rPr>
      <w:t xml:space="preserve"> </w:t>
    </w:r>
    <w:r>
      <w:rPr>
        <w:rFonts w:ascii="Calibri" w:hAnsi="Calibri"/>
        <w:color w:val="000000"/>
      </w:rPr>
      <w:t>Sardegna</w:t>
    </w:r>
  </w:p>
  <w:p>
    <w:pPr>
      <w:pStyle w:val="Intestazion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andard"/>
      <w:jc w:val="center"/>
      <w:rPr>
        <w:rFonts w:ascii="Calibri" w:hAnsi="Calibri"/>
        <w:color w:val="000000"/>
        <w:sz w:val="36"/>
        <w:szCs w:val="40"/>
      </w:rPr>
    </w:pPr>
    <w:r>
      <w:rPr>
        <w:rFonts w:ascii="Calibri" w:hAnsi="Calibri"/>
        <w:color w:val="000000"/>
        <w:sz w:val="36"/>
        <w:szCs w:val="4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2">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3">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4">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5">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6">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7">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8">
    <w:lvl w:ilvl="0">
      <w:start w:val="1"/>
      <w:numFmt w:val="bullet"/>
      <w:lvlText w:val=""/>
      <w:lvlJc w:val="left"/>
      <w:pPr>
        <w:tabs>
          <w:tab w:val="num" w:pos="707"/>
        </w:tabs>
        <w:ind w:left="707" w:hanging="283"/>
      </w:pPr>
      <w:rPr>
        <w:rFonts w:ascii="Symbol" w:hAnsi="Symbol" w:cs="Symbol" w:hint="default"/>
      </w:rPr>
    </w:lvl>
    <w:lvl w:ilvl="1">
      <w:start w:val="1"/>
      <w:numFmt w:val="bullet"/>
      <w:lvlText w:val=""/>
      <w:lvlJc w:val="left"/>
      <w:pPr>
        <w:tabs>
          <w:tab w:val="num" w:pos="1414"/>
        </w:tabs>
        <w:ind w:left="1414" w:hanging="283"/>
      </w:pPr>
      <w:rPr>
        <w:rFonts w:ascii="Symbol" w:hAnsi="Symbol" w:cs="Symbol" w:hint="default"/>
      </w:rPr>
    </w:lvl>
    <w:lvl w:ilvl="2">
      <w:start w:val="1"/>
      <w:numFmt w:val="bullet"/>
      <w:lvlText w:val=""/>
      <w:lvlJc w:val="left"/>
      <w:pPr>
        <w:tabs>
          <w:tab w:val="num" w:pos="2121"/>
        </w:tabs>
        <w:ind w:left="2121" w:hanging="283"/>
      </w:pPr>
      <w:rPr>
        <w:rFonts w:ascii="Symbol" w:hAnsi="Symbol" w:cs="Symbol" w:hint="default"/>
      </w:rPr>
    </w:lvl>
    <w:lvl w:ilvl="3">
      <w:start w:val="1"/>
      <w:numFmt w:val="bullet"/>
      <w:lvlText w:val=""/>
      <w:lvlJc w:val="left"/>
      <w:pPr>
        <w:tabs>
          <w:tab w:val="num" w:pos="2828"/>
        </w:tabs>
        <w:ind w:left="2828" w:hanging="283"/>
      </w:pPr>
      <w:rPr>
        <w:rFonts w:ascii="Symbol" w:hAnsi="Symbol" w:cs="Symbol" w:hint="default"/>
      </w:rPr>
    </w:lvl>
    <w:lvl w:ilvl="4">
      <w:start w:val="1"/>
      <w:numFmt w:val="bullet"/>
      <w:lvlText w:val=""/>
      <w:lvlJc w:val="left"/>
      <w:pPr>
        <w:tabs>
          <w:tab w:val="num" w:pos="3535"/>
        </w:tabs>
        <w:ind w:left="3535" w:hanging="283"/>
      </w:pPr>
      <w:rPr>
        <w:rFonts w:ascii="Symbol" w:hAnsi="Symbol" w:cs="Symbol" w:hint="default"/>
      </w:rPr>
    </w:lvl>
    <w:lvl w:ilvl="5">
      <w:start w:val="1"/>
      <w:numFmt w:val="bullet"/>
      <w:lvlText w:val=""/>
      <w:lvlJc w:val="left"/>
      <w:pPr>
        <w:tabs>
          <w:tab w:val="num" w:pos="4242"/>
        </w:tabs>
        <w:ind w:left="4242" w:hanging="283"/>
      </w:pPr>
      <w:rPr>
        <w:rFonts w:ascii="Symbol" w:hAnsi="Symbol" w:cs="Symbol" w:hint="default"/>
      </w:rPr>
    </w:lvl>
    <w:lvl w:ilvl="6">
      <w:start w:val="1"/>
      <w:numFmt w:val="bullet"/>
      <w:lvlText w:val=""/>
      <w:lvlJc w:val="left"/>
      <w:pPr>
        <w:tabs>
          <w:tab w:val="num" w:pos="4949"/>
        </w:tabs>
        <w:ind w:left="4949" w:hanging="283"/>
      </w:pPr>
      <w:rPr>
        <w:rFonts w:ascii="Symbol" w:hAnsi="Symbol" w:cs="Symbol" w:hint="default"/>
      </w:rPr>
    </w:lvl>
    <w:lvl w:ilvl="7">
      <w:start w:val="1"/>
      <w:numFmt w:val="bullet"/>
      <w:lvlText w:val=""/>
      <w:lvlJc w:val="left"/>
      <w:pPr>
        <w:tabs>
          <w:tab w:val="num" w:pos="5656"/>
        </w:tabs>
        <w:ind w:left="5656" w:hanging="283"/>
      </w:pPr>
      <w:rPr>
        <w:rFonts w:ascii="Symbol" w:hAnsi="Symbol" w:cs="Symbol" w:hint="default"/>
      </w:rPr>
    </w:lvl>
    <w:lvl w:ilvl="8">
      <w:start w:val="1"/>
      <w:numFmt w:val="bullet"/>
      <w:lvlText w:val=""/>
      <w:lvlJc w:val="left"/>
      <w:pPr>
        <w:tabs>
          <w:tab w:val="num" w:pos="6363"/>
        </w:tabs>
        <w:ind w:left="6363" w:hanging="283"/>
      </w:pPr>
      <w:rPr>
        <w:rFonts w:ascii="Symbol" w:hAnsi="Symbol" w:cs="Symbol" w:hint="default"/>
      </w:rPr>
    </w:lvl>
  </w:abstractNum>
  <w:abstractNum w:abstractNumId="9">
    <w:lvl w:ilvl="0">
      <w:start w:val="1"/>
      <w:pStyle w:val="Titolo1"/>
      <w:numFmt w:val="none"/>
      <w:suff w:val="nothing"/>
      <w:lvlText w:val=""/>
      <w:lvlJc w:val="left"/>
      <w:pPr>
        <w:tabs>
          <w:tab w:val="num" w:pos="0"/>
        </w:tabs>
        <w:ind w:left="0" w:hanging="0"/>
      </w:pPr>
    </w:lvl>
    <w:lvl w:ilvl="1">
      <w:start w:val="1"/>
      <w:pStyle w:val="Titolo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6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Lucida Sans Unicode" w:cs="Mangal"/>
        <w:kern w:val="2"/>
        <w:szCs w:val="24"/>
        <w:lang w:val="it-IT"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textAlignment w:val="baseline"/>
    </w:pPr>
    <w:rPr>
      <w:rFonts w:ascii="Times New Roman" w:hAnsi="Times New Roman" w:eastAsia="Lucida Sans Unicode" w:cs="Mangal"/>
      <w:color w:val="auto"/>
      <w:kern w:val="2"/>
      <w:sz w:val="24"/>
      <w:szCs w:val="24"/>
      <w:lang w:val="it-IT" w:eastAsia="zh-CN" w:bidi="hi-IN"/>
    </w:rPr>
  </w:style>
  <w:style w:type="paragraph" w:styleId="Titolo1">
    <w:name w:val="Heading 1"/>
    <w:basedOn w:val="Titolo"/>
    <w:next w:val="Corpodeltesto"/>
    <w:qFormat/>
    <w:pPr>
      <w:spacing w:before="240" w:after="120"/>
      <w:outlineLvl w:val="0"/>
    </w:pPr>
    <w:rPr>
      <w:rFonts w:ascii="Liberation Serif" w:hAnsi="Liberation Serif" w:eastAsia="NSimSun" w:cs="Lucida Sans"/>
      <w:b/>
      <w:bCs/>
      <w:sz w:val="48"/>
      <w:szCs w:val="48"/>
    </w:rPr>
  </w:style>
  <w:style w:type="paragraph" w:styleId="Titolo2">
    <w:name w:val="Heading 2"/>
    <w:basedOn w:val="Titolo"/>
    <w:next w:val="Corpodeltesto"/>
    <w:qFormat/>
    <w:pPr>
      <w:spacing w:before="200" w:after="120"/>
      <w:outlineLvl w:val="1"/>
    </w:pPr>
    <w:rPr>
      <w:rFonts w:ascii="Liberation Serif" w:hAnsi="Liberation Serif" w:eastAsia="NSimSun" w:cs="Lucida Sans"/>
      <w:b/>
      <w:bCs/>
      <w:sz w:val="36"/>
      <w:szCs w:val="36"/>
    </w:rPr>
  </w:style>
  <w:style w:type="character" w:styleId="DefaultParagraphFont" w:default="1">
    <w:name w:val="Default Paragraph Font"/>
    <w:uiPriority w:val="1"/>
    <w:semiHidden/>
    <w:unhideWhenUsed/>
    <w:qFormat/>
    <w:rPr/>
  </w:style>
  <w:style w:type="character" w:styleId="Punti" w:customStyle="1">
    <w:name w:val="Punti"/>
    <w:qFormat/>
    <w:rPr>
      <w:rFonts w:ascii="OpenSymbol" w:hAnsi="OpenSymbol" w:eastAsia="OpenSymbol" w:cs="OpenSymbol"/>
    </w:rPr>
  </w:style>
  <w:style w:type="character" w:styleId="Caratteridinumerazione" w:customStyle="1">
    <w:name w:val="Caratteri di numerazione"/>
    <w:qFormat/>
    <w:rPr/>
  </w:style>
  <w:style w:type="character" w:styleId="Eee" w:customStyle="1">
    <w:name w:val="eee"/>
    <w:qFormat/>
    <w:rPr>
      <w:rFonts w:ascii="Verdana" w:hAnsi="Verdana" w:eastAsia="Verdana" w:cs="Times New Roman"/>
      <w:b/>
      <w:bCs/>
      <w:sz w:val="20"/>
      <w:szCs w:val="20"/>
      <w:u w:val="none"/>
    </w:rPr>
  </w:style>
  <w:style w:type="character" w:styleId="CollegamentoInternet" w:customStyle="1">
    <w:name w:val="Collegamento Internet"/>
    <w:qFormat/>
    <w:rPr>
      <w:color w:val="000080"/>
      <w:u w:val="single"/>
    </w:rPr>
  </w:style>
  <w:style w:type="paragraph" w:styleId="Titolo" w:customStyle="1">
    <w:name w:val="Titolo"/>
    <w:basedOn w:val="Standard"/>
    <w:next w:val="Textbody"/>
    <w:qFormat/>
    <w:pPr>
      <w:keepNext w:val="true"/>
      <w:spacing w:before="240" w:after="120"/>
    </w:pPr>
    <w:rPr>
      <w:rFonts w:ascii="Arial" w:hAnsi="Arial"/>
      <w:sz w:val="28"/>
      <w:szCs w:val="28"/>
    </w:rPr>
  </w:style>
  <w:style w:type="paragraph" w:styleId="Corpodeltesto">
    <w:name w:val="Body Text"/>
    <w:basedOn w:val="Normal"/>
    <w:pPr>
      <w:spacing w:lineRule="auto" w:line="276" w:before="0" w:after="140"/>
    </w:pPr>
    <w:rPr/>
  </w:style>
  <w:style w:type="paragraph" w:styleId="Elenco">
    <w:name w:val="List"/>
    <w:basedOn w:val="Textbody"/>
    <w:pPr/>
    <w:rPr/>
  </w:style>
  <w:style w:type="paragraph" w:styleId="Didascalia">
    <w:name w:val="Caption"/>
    <w:basedOn w:val="Normal"/>
    <w:qFormat/>
    <w:pPr>
      <w:suppressLineNumbers/>
      <w:spacing w:before="120" w:after="120"/>
    </w:pPr>
    <w:rPr>
      <w:rFonts w:cs="Lucida Sans"/>
      <w:i/>
      <w:iCs/>
      <w:sz w:val="24"/>
      <w:szCs w:val="24"/>
    </w:rPr>
  </w:style>
  <w:style w:type="paragraph" w:styleId="Indice" w:customStyle="1">
    <w:name w:val="Indice"/>
    <w:basedOn w:val="Standard"/>
    <w:qFormat/>
    <w:pPr>
      <w:suppressLineNumbers/>
    </w:pPr>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Lucida Sans Unicode" w:cs="Mangal"/>
      <w:color w:val="auto"/>
      <w:kern w:val="2"/>
      <w:sz w:val="24"/>
      <w:szCs w:val="24"/>
      <w:lang w:val="it-IT" w:eastAsia="zh-CN" w:bidi="hi-IN"/>
    </w:rPr>
  </w:style>
  <w:style w:type="paragraph" w:styleId="Textbody" w:customStyle="1">
    <w:name w:val="Text body"/>
    <w:basedOn w:val="Standard"/>
    <w:qFormat/>
    <w:pPr>
      <w:spacing w:before="0" w:after="120"/>
    </w:pPr>
    <w:rPr/>
  </w:style>
  <w:style w:type="paragraph" w:styleId="Caption">
    <w:name w:val="caption"/>
    <w:basedOn w:val="Standard"/>
    <w:qFormat/>
    <w:pPr>
      <w:suppressLineNumbers/>
      <w:spacing w:before="120" w:after="120"/>
    </w:pPr>
    <w:rPr>
      <w:i/>
      <w:iCs/>
    </w:rPr>
  </w:style>
  <w:style w:type="paragraph" w:styleId="Intestazioneepidipagina" w:customStyle="1">
    <w:name w:val="Intestazione e piè di pagina"/>
    <w:basedOn w:val="Standard"/>
    <w:qFormat/>
    <w:pPr>
      <w:suppressLineNumbers/>
      <w:tabs>
        <w:tab w:val="clear" w:pos="708"/>
        <w:tab w:val="center" w:pos="4819" w:leader="none"/>
        <w:tab w:val="right" w:pos="9638" w:leader="none"/>
      </w:tabs>
    </w:pPr>
    <w:rPr/>
  </w:style>
  <w:style w:type="paragraph" w:styleId="Intestazione">
    <w:name w:val="Header"/>
    <w:basedOn w:val="Standard"/>
    <w:pPr>
      <w:suppressLineNumbers/>
      <w:tabs>
        <w:tab w:val="clear" w:pos="708"/>
        <w:tab w:val="center" w:pos="4819" w:leader="none"/>
        <w:tab w:val="right" w:pos="9638" w:leader="none"/>
      </w:tabs>
    </w:pPr>
    <w:rPr/>
  </w:style>
  <w:style w:type="paragraph" w:styleId="Illustrazione" w:customStyle="1">
    <w:name w:val="Illustrazione"/>
    <w:basedOn w:val="Caption"/>
    <w:qFormat/>
    <w:pPr/>
    <w:rPr/>
  </w:style>
  <w:style w:type="paragraph" w:styleId="Provelencotrattino" w:customStyle="1">
    <w:name w:val="prov_elenco_trattino"/>
    <w:basedOn w:val="Textbody"/>
    <w:qFormat/>
    <w:pPr>
      <w:spacing w:lineRule="auto" w:line="360" w:before="0" w:after="0"/>
      <w:jc w:val="both"/>
    </w:pPr>
    <w:rPr>
      <w:rFonts w:ascii="Tahoma" w:hAnsi="Tahoma" w:eastAsia="Tahoma" w:cs="Tahoma"/>
      <w:sz w:val="20"/>
    </w:rPr>
  </w:style>
  <w:style w:type="paragraph" w:styleId="Pidipagina">
    <w:name w:val="Footer"/>
    <w:basedOn w:val="Standard"/>
    <w:pPr>
      <w:suppressLineNumbers/>
      <w:tabs>
        <w:tab w:val="clear" w:pos="708"/>
        <w:tab w:val="center" w:pos="4819" w:leader="none"/>
        <w:tab w:val="right" w:pos="9638" w:leader="none"/>
      </w:tabs>
    </w:pPr>
    <w:rPr/>
  </w:style>
  <w:style w:type="paragraph" w:styleId="Provs04" w:customStyle="1">
    <w:name w:val="prov_s04"/>
    <w:basedOn w:val="Textbody"/>
    <w:qFormat/>
    <w:pPr>
      <w:spacing w:before="0" w:after="0"/>
      <w:jc w:val="center"/>
    </w:pPr>
    <w:rPr>
      <w:rFonts w:ascii="Tahoma" w:hAnsi="Tahoma" w:eastAsia="Tahoma" w:cs="Times New Roman"/>
      <w:b/>
      <w:bCs/>
    </w:rPr>
  </w:style>
  <w:style w:type="paragraph" w:styleId="Provoggetto" w:customStyle="1">
    <w:name w:val="prov_oggetto"/>
    <w:basedOn w:val="Textbody"/>
    <w:qFormat/>
    <w:pPr>
      <w:spacing w:before="0" w:after="0"/>
    </w:pPr>
    <w:rPr>
      <w:rFonts w:ascii="Tahoma" w:hAnsi="Tahoma" w:eastAsia="Tahoma" w:cs="Times New Roman"/>
      <w:b/>
      <w:bCs/>
      <w:sz w:val="20"/>
      <w:szCs w:val="20"/>
    </w:rPr>
  </w:style>
  <w:style w:type="paragraph" w:styleId="Provcorpotesto" w:customStyle="1">
    <w:name w:val="prov_corpo_testo"/>
    <w:basedOn w:val="Provelencotrattino"/>
    <w:qFormat/>
    <w:pPr/>
    <w:rPr>
      <w:b/>
      <w:bCs/>
    </w:rPr>
  </w:style>
  <w:style w:type="paragraph" w:styleId="Contenutotabella" w:customStyle="1">
    <w:name w:val="Contenuto tabella"/>
    <w:basedOn w:val="Standard"/>
    <w:qFormat/>
    <w:pPr>
      <w:suppressLineNumbers/>
    </w:pPr>
    <w:rPr/>
  </w:style>
  <w:style w:type="paragraph" w:styleId="Titolotabella" w:customStyle="1">
    <w:name w:val="Titolo tabella"/>
    <w:basedOn w:val="Contenutotabella"/>
    <w:qFormat/>
    <w:pPr>
      <w:jc w:val="center"/>
    </w:pPr>
    <w:rPr>
      <w:b/>
      <w:bCs/>
    </w:rPr>
  </w:style>
  <w:style w:type="paragraph" w:styleId="Contenutocornice" w:customStyle="1">
    <w:name w:val="Contenuto cornice"/>
    <w:basedOn w:val="Textbody"/>
    <w:qFormat/>
    <w:pPr/>
    <w:rPr/>
  </w:style>
  <w:style w:type="paragraph" w:styleId="Testopreformattato" w:customStyle="1">
    <w:name w:val="Testo preformattato"/>
    <w:basedOn w:val="Standard"/>
    <w:qFormat/>
    <w:pPr/>
    <w:rPr>
      <w:rFonts w:ascii="Courier New" w:hAnsi="Courier New" w:eastAsia="NSimSun" w:cs="Courier New"/>
      <w:sz w:val="20"/>
      <w:szCs w:val="20"/>
    </w:rPr>
  </w:style>
  <w:style w:type="paragraph" w:styleId="DELIBERATESTO" w:customStyle="1">
    <w:name w:val="DELIBERA_TESTO"/>
    <w:qFormat/>
    <w:pPr>
      <w:widowControl w:val="false"/>
      <w:suppressAutoHyphens w:val="true"/>
      <w:bidi w:val="0"/>
      <w:spacing w:before="0" w:after="0"/>
      <w:jc w:val="both"/>
      <w:textAlignment w:val="baseline"/>
    </w:pPr>
    <w:rPr>
      <w:rFonts w:ascii="Tahoma" w:hAnsi="Tahoma" w:eastAsia="Tahoma" w:cs="Tahoma"/>
      <w:color w:val="auto"/>
      <w:kern w:val="2"/>
      <w:sz w:val="20"/>
      <w:szCs w:val="20"/>
      <w:lang w:val="it-IT" w:eastAsia="zh-CN" w:bidi="hi-IN"/>
    </w:rPr>
  </w:style>
  <w:style w:type="paragraph" w:styleId="OGGETTOPROP" w:customStyle="1">
    <w:name w:val="OGGETTO_PROP"/>
    <w:qFormat/>
    <w:pPr>
      <w:widowControl w:val="false"/>
      <w:suppressAutoHyphens w:val="true"/>
      <w:bidi w:val="0"/>
      <w:spacing w:before="0" w:after="0"/>
      <w:jc w:val="both"/>
      <w:textAlignment w:val="baseline"/>
    </w:pPr>
    <w:rPr>
      <w:rFonts w:ascii="Tahoma" w:hAnsi="Tahoma" w:eastAsia="Tahoma" w:cs="Tahoma"/>
      <w:b/>
      <w:bCs/>
      <w:color w:val="auto"/>
      <w:kern w:val="2"/>
      <w:sz w:val="22"/>
      <w:szCs w:val="22"/>
      <w:lang w:val="it-IT" w:eastAsia="zh-CN" w:bidi="hi-IN"/>
    </w:rPr>
  </w:style>
  <w:style w:type="paragraph" w:styleId="PlainText">
    <w:name w:val="Plain Text"/>
    <w:basedOn w:val="Standard"/>
    <w:qFormat/>
    <w:pPr/>
    <w:rPr>
      <w:rFonts w:ascii="Courier New" w:hAnsi="Courier New" w:eastAsia="Courier New" w:cs="Courier New"/>
    </w:rPr>
  </w:style>
  <w:style w:type="paragraph" w:styleId="Provfirma" w:customStyle="1">
    <w:name w:val="prov_firma"/>
    <w:qFormat/>
    <w:pPr>
      <w:widowControl w:val="false"/>
      <w:suppressAutoHyphens w:val="true"/>
      <w:bidi w:val="0"/>
      <w:spacing w:before="0" w:after="0"/>
      <w:ind w:left="5102" w:hanging="0"/>
      <w:jc w:val="center"/>
      <w:textAlignment w:val="baseline"/>
    </w:pPr>
    <w:rPr>
      <w:rFonts w:ascii="Tahoma" w:hAnsi="Tahoma" w:eastAsia="Tahoma" w:cs="Tahoma"/>
      <w:b/>
      <w:color w:val="auto"/>
      <w:kern w:val="2"/>
      <w:sz w:val="22"/>
      <w:szCs w:val="24"/>
      <w:lang w:val="it-IT" w:eastAsia="zh-CN" w:bidi="hi-IN"/>
    </w:rPr>
  </w:style>
  <w:style w:type="paragraph" w:styleId="Provproposta" w:customStyle="1">
    <w:name w:val="prov_proposta"/>
    <w:qFormat/>
    <w:pPr>
      <w:widowControl w:val="false"/>
      <w:suppressAutoHyphens w:val="true"/>
      <w:bidi w:val="0"/>
      <w:spacing w:before="0" w:after="0"/>
      <w:jc w:val="left"/>
      <w:textAlignment w:val="baseline"/>
    </w:pPr>
    <w:rPr>
      <w:rFonts w:ascii="Tahoma" w:hAnsi="Tahoma" w:eastAsia="Times New Roman" w:cs="Tahoma"/>
      <w:color w:val="auto"/>
      <w:kern w:val="2"/>
      <w:sz w:val="18"/>
      <w:szCs w:val="18"/>
      <w:lang w:val="it-IT" w:eastAsia="zh-CN" w:bidi="hi-IN"/>
    </w:rPr>
  </w:style>
  <w:style w:type="paragraph" w:styleId="Tabellanormale1" w:customStyle="1">
    <w:name w:val="Tabella normale1"/>
    <w:qFormat/>
    <w:pPr>
      <w:widowControl/>
      <w:suppressAutoHyphens w:val="true"/>
      <w:bidi w:val="0"/>
      <w:spacing w:lineRule="auto" w:line="276" w:before="0" w:after="200"/>
      <w:jc w:val="left"/>
      <w:textAlignment w:val="auto"/>
    </w:pPr>
    <w:rPr>
      <w:rFonts w:ascii="Calibri" w:hAnsi="Calibri" w:eastAsia="Times New Roman" w:cs="Calibri"/>
      <w:color w:val="auto"/>
      <w:kern w:val="2"/>
      <w:sz w:val="22"/>
      <w:szCs w:val="22"/>
      <w:lang w:val="it-IT" w:eastAsia="it-IT" w:bidi="ar-SA"/>
    </w:rPr>
  </w:style>
  <w:style w:type="paragraph" w:styleId="NormalWeb">
    <w:name w:val="Normal (Web)"/>
    <w:basedOn w:val="Standard"/>
    <w:qFormat/>
    <w:pPr>
      <w:spacing w:before="100" w:after="119"/>
    </w:pPr>
    <w:rPr>
      <w:rFonts w:cs="Times New Roman"/>
    </w:rPr>
  </w:style>
  <w:style w:type="paragraph" w:styleId="Lineaorizzontale">
    <w:name w:val="Linea orizzontale"/>
    <w:basedOn w:val="Normal"/>
    <w:next w:val="Corpodeltesto"/>
    <w:qFormat/>
    <w:pPr>
      <w:suppressLineNumbers/>
      <w:pBdr>
        <w:bottom w:val="double" w:sz="2" w:space="0" w:color="808080"/>
      </w:pBdr>
      <w:spacing w:before="0" w:after="283"/>
    </w:pPr>
    <w:rPr>
      <w:sz w:val="12"/>
      <w:szCs w:val="12"/>
    </w:rPr>
  </w:style>
  <w:style w:type="numbering" w:styleId="NoList" w:default="1">
    <w:name w:val="No List"/>
    <w:uiPriority w:val="99"/>
    <w:semiHidden/>
    <w:unhideWhenUsed/>
    <w:qFormat/>
  </w:style>
  <w:style w:type="numbering" w:styleId="Punto" w:customStyle="1">
    <w:name w:val="Punto •"/>
    <w:qFormat/>
  </w:style>
  <w:style w:type="numbering" w:styleId="Elenco21" w:customStyle="1">
    <w:name w:val="Elenco 21"/>
    <w:qFormat/>
  </w:style>
  <w:style w:type="numbering" w:styleId="Elenco31" w:customStyle="1">
    <w:name w:val="Elenco 31"/>
    <w:qFormat/>
  </w:style>
  <w:style w:type="numbering" w:styleId="Elenco41" w:customStyle="1">
    <w:name w:val="Elenco 41"/>
    <w:qFormat/>
  </w:style>
  <w:style w:type="numbering" w:styleId="Elenco51" w:customStyle="1">
    <w:name w:val="Elenco 51"/>
    <w:qFormat/>
  </w:style>
  <w:style w:type="numbering" w:styleId="Numbering1" w:customStyle="1">
    <w:name w:val="Numbering 1"/>
    <w:qFormat/>
  </w:style>
  <w:style w:type="numbering" w:styleId="Numbering2" w:customStyle="1">
    <w:name w:val="Numbering 2"/>
    <w:qFormat/>
  </w:style>
  <w:style w:type="numbering" w:styleId="Numbering3" w:customStyle="1">
    <w:name w:val="Numbering 3"/>
    <w:qFormat/>
  </w:style>
  <w:style w:type="numbering" w:styleId="Numbering4" w:customStyle="1">
    <w:name w:val="Numbering 4"/>
    <w:qFormat/>
  </w:style>
  <w:style w:type="numbering" w:styleId="Numbering5" w:customStyle="1">
    <w:name w:val="Numbering 5"/>
    <w:qFormat/>
  </w:style>
  <w:style w:type="numbering" w:styleId="Trattino" w:customStyle="1">
    <w:name w:val="trattino"/>
    <w:qFormat/>
  </w:style>
  <w:style w:type="numbering" w:styleId="Num1" w:customStyle="1">
    <w:name w:val="Num1"/>
    <w:qFormat/>
  </w:style>
  <w:style w:type="numbering" w:styleId="Num2" w:customStyle="1">
    <w:name w:val="Num2"/>
    <w:qFormat/>
  </w:style>
  <w:style w:type="numbering" w:styleId="Punto1" w:customStyle="1">
    <w:name w:val="punto"/>
    <w:qFormat/>
  </w:style>
  <w:style w:type="numbering" w:styleId="Abc" w:customStyle="1">
    <w:name w:val="abc"/>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Application>LibreOffice/6.4.7.2$Windows_X86_64 LibreOffice_project/639b8ac485750d5696d7590a72ef1b496725cfb5</Application>
  <Pages>4</Pages>
  <Words>768</Words>
  <Characters>4880</Characters>
  <CharactersWithSpaces>5544</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2025-06-17T11:31:00Z</dcterms:created>
  <dc:creator>Barbara  Giatti</dc:creator>
  <dc:description/>
  <dc:language>it-IT</dc:language>
  <cp:lastModifiedBy/>
  <dcterms:modified xsi:type="dcterms:W3CDTF">2026-05-28T12:09:01Z</dcterms:modified>
  <cp:revision>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y fmtid="{D5CDD505-2E9C-101B-9397-08002B2CF9AE}" pid="8" name="SingleXMLDocument_count">
    <vt:i4>1</vt:i4>
  </property>
</Properties>
</file>